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2019/43 vom 6. März 2019</w:t>
      </w:r>
    </w:p>
    <w:p>
      <w:r>
        <w:t>Sg Verwaltungsgericht, 2019-03-06, DE</w:t>
      </w:r>
    </w:p>
    <w:p>
      <w:r>
        <w:rPr>
          <w:b/>
        </w:rPr>
        <w:t xml:space="preserve">Quelle: </w:t>
      </w:r>
      <w:r>
        <w:t>https://mcp.opencaselaw.ch/entscheid/sg_publikationen_B 2019_43</w:t>
      </w:r>
    </w:p>
    <w:p>
      <w:r>
        <w:t>FR: SG_VERWALTUNGSGERICHT B 2019/43 du 6 mars 2019</w:t>
      </w:r>
    </w:p>
    <w:p>
      <w:r>
        <w:t>IT: SG_VERWALTUNGSGERICHT B 2019/43 del 6 marzo 2019</w:t>
      </w:r>
    </w:p>
    <w:p>
      <w:pPr>
        <w:pStyle w:val="Heading2"/>
      </w:pPr>
      <w:r>
        <w:t>Regeste</w:t>
      </w:r>
    </w:p>
    <w:p>
      <w:r>
        <w:t>Öffentliches Beschaffungswesen, Art. 17 Abs. 2 IVöB. Aus der Formulierung im Devis wird klar, dass das Terminprogramm als Teil des Angebots über die Bestätigung, die Termine einzuhalten, hinausgehen sollte. Als Beilage war ein Terminprogramm verlangt, welches Einblick in die geplante Prozessorganisation des Anbieters geboten und das detaillierte Bauprogramm, welches nicht Teil der Ausschreibungsunterlagen war, mitgeprägt hätte. Der Ausschluss des Angebots der Beschwerdeführerin war unter diesen Umständen wohl – mit Blick auf das Verbot des überspitzten Formalismus – nicht nur zulässig, sondern – mit Blick auf das Gebot der Gleichbehandlung der Anbieter – vergaberechtlich sogar geboten. Das Gesuch um Gewährung der aufschiebenden Wirkung ist abzuweisen (Präsidialverfügung Verwaltungsgericht, B 2019/43).</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w:t>
      </w:r>
    </w:p>
    <w:p>
      <w:r>
        <w:rPr>
          <w:b/>
        </w:rPr>
        <w:t>E. 3</w:t>
      </w:r>
    </w:p>
    <w:p>
      <w:r>
        <w:t>Die Beschwerdeführerin beanstandet vorab den Ausschluss ihres Angebots. Zur Position 090.500 des Devis bringt sie vor, es handle sich dabei um einen Standardtext, der nicht relevant sei, da in der Submission klar aufgefordert werde, nach festgelegtem Terminprogramm des Architekten und der Bauherrschaft vorzugehen und dies zu berücksichtigen. Der Auftraggeber kann gestützt auf die in Art. 12 Abs. 1 lit. a-i VöB nicht abschliessend genannten Gründe einen Anbieter vom Vergabeverfahren ausschliessen. Ein Angebot kann insbesondere ausgeschlossen werden, wenn es Formvorschriften des Vergabeverfahrens verletzt (Art. 12 Abs. 1 Ingress und lit. h VöB). In den Ausschreibungsunterlagen behielt sich die Vorinstanz denn auch den Ausschluss einer Offerte aufgrund formaler Mängel wie Unvollständigkeit aufgrund fehlender Beilagen ausdrücklich vor (vgl. act. 10/1: I Ergänzende Informationen zur Submission, Randtitel "Eingabeadresse", III Formular Eignungskriterien [EK]). Der Auftraggeber ist vorbehältlich des aus Art. 29 Abs. 1 der Bundesverfassung der Schweizerischen Eidgenossenschaft (SR 101, BV) abgeleiteten Verbots des überspitzten Formalismus – wenn die Abweichung von den Vorgaben der Ausschreibung untergeordneten Charakter hat und mit Blick auf das Preis-Leistungs-Verhältnis nur unbedeutend ist (BGE 143 I 177 E. 2.3.1) – nicht gehalten, von Amtes wegen mangelhaft oder unvollständig eingereichte Unterlagen oder Angaben zu vervollständigen (BGer 2C_257/2016 vom 16. September 2016 E. 1.2.3 mit Hinweis auf BGE 139 II 489 E. 3.2 und weitere bundesgerichtliche Rechtsprechung; BGer 2C_782/2012 vom 10. Januar 2013 E. 3.3). Insoweit ist es regelmässig auch nicht zwingend, mit dem betroffenen Anbieter im Sinn der Gewährung des rechtlichen Gehörs vor dem Ausschluss Rücksprache zu nehmen (vgl. Galli/ Moser/Lang/Steiner, a.a.O., Rz. 440), zumal die Anbieter keinen Anspruch darauf haben, dass über einen allfälligen Ausschluss von der Teilnahme mit separatem Entscheid vorweg entschieden wird (vgl. Galli/Moser/Lang/Steiner, a.a.O., Rz. 449). Teil der Angebotsunterlagen war ein detaillierter Devis, in dessen Position 090.500 in Grossbuchstaben festgehalten wurde: "Der Unternehmer liefert zusammen mit seinem Angebot ein Terminprogramm beinhaltend Rahmentermine für Planung, Werkplanung, Produktion, Vor- und Endmontage. Terminprogramm ist zwingender Bestan[d]teil der Eingabe." Aus dieser Formulierung wird klar, dass das Terminprogramm als Teil des Angebots über die – auch durch Referenzen erteilte – Bestätigung, die Termine einzuhalten, hinausgeht. Vielmehr war als Beilage ein Terminprogramm verlangt, welches Einblick in die geplante Prozessorganisation des Anbieters geboten und das detaillierte Bauprogramm, welches nicht Teil der Ausschreibungsunterlagen war, mitgeprägt hätte. Der Ausschluss des Angebots der Beschwerdeführerin, welches unbestrittenermassen kein solches Terminprogramm enthielt, war unter diesen Umständen wohl – mit Blick auf das Verbot des überspitzten Formalismus – nicht nur zulässig, sondern – mit Blick auf das Gebot der Gleichbehandlung der Anbieter (vgl. Art. 1 Abs. 3 Ingress und lit. b sowie Art. 11 Ingress und lit. a IVöB) – vergaberechtlich wohl sogar geboten (vgl. Galli/Moser/Lang/Steiner, a.a.O., Rz. 462).</w:t>
      </w:r>
    </w:p>
    <w:p>
      <w:r>
        <w:rPr>
          <w:b/>
        </w:rPr>
        <w:t>E. 4</w:t>
      </w:r>
    </w:p>
    <w:p>
      <w:r>
        <w:t>Auch wenn die Vorinstanz ihren Antrag, der Beschwerde sei keine aufschiebende Wirkung zu gewähren, nicht mit öffentlichen Interessen und insbesondere auch nicht mit der Dringlichkeit des Bauvorhabens begründet, ist das Gesuch der Beschwerdeführerin abzuweisen, da die Beschwerde, welche vorab den Ausschluss des Angebots der Beschwerdeführerin zum Gegenstand hat, nicht als hinreichend begründet erscheint. Solange allerdings im Verfahren B 2019/42 zum gleichen Beschaffungsgegenstand über das Gesuch um aufschiebende Wirkung der Beschwerde noch nicht entschieden ist, bleibt der Vorinstanz der Abschluss des Vertrags nach wie vor einstweilen untersagt (vgl. verfahrensleitende Verfügung des zuständigen Abteilungspräsidenten vom 25. Februar 2019).</w:t>
      </w:r>
    </w:p>
    <w:p>
      <w:r>
        <w:rPr>
          <w:b/>
        </w:rPr>
        <w:t>E. 5</w:t>
      </w:r>
    </w:p>
    <w:p>
      <w:r>
        <w:t>Vorinstanz und Beschwerdegegnerin sind einzuladen, bis 27. März 2019 materiell Stellung zur Beschwerde zu nehmen (in dreifacher Ausfertigung). Nach unbenützter Frist ist Verzicht anzunehmen.</w:t>
      </w:r>
    </w:p>
    <w:p>
      <w:r>
        <w:rPr>
          <w:b/>
        </w:rPr>
        <w:t>E. 6</w:t>
      </w:r>
    </w:p>
    <w:p>
      <w:r>
        <w:t>Bei diesem Verfahrensausgang sind die amtlichen Kosten des Zwischenverfahrens der Beschwerdeführerin aufzuerlegen (Art. 95 Abs. 1 VRP). Eine Entscheidgebühr für die Zwischenverfügung von CHF 800 erscheint angemessen (Art. 7 Ziff. 211 der Gerichtskostenverordnung, sGS 941.12). Mangels Anspruchs – die Vorinstanz ist verfügende Vergabebehörde (vgl. R. Hirt, Die Regelung der Kosten nach st. gallischem Verwaltungsrechtspflegegesetz, St. Gallen 2004, S. 176) und hat deshalb zurecht auch keinen entsprechenden Antrag gestellt – und Antrags – die Beschwerdegegnerin hat sich zum Gesuch um aufschiebende Wirkung nicht vernehmen lassen – sind für das Zwischenverfahren keine ausseramtlichen Kosten zu entschädigen (Art. 98 Abs. 1 und Art. 98 bis VRP). Der Abteilungspräsident verfügt: 1. Das Gesuch um Erteilung der aufschiebenden Wirkung wird abgewiesen. 2. Vorinstanz und Beschwerdegegnerin werden eingeladen, bis 27. März 2019 materiell zur Beschwerde Stellung zu nehmen (je in dreifacher Ausfertigung). Nach unbenützter Frist wird Verzicht angenommen. 3. Die Beschwerdeführerin bezahlt die amtlichen Kosten des Zwischenverfahrens von CHF 800. 4. Für das Zwischenverfahren werden keine ausseramtlichen Kosten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